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06C75C71"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w:t>
      </w:r>
      <w:r w:rsidR="00D55014" w:rsidRPr="00D55014">
        <w:rPr>
          <w:b/>
          <w:bCs/>
          <w:color w:val="000000"/>
          <w:sz w:val="24"/>
          <w:szCs w:val="24"/>
        </w:rPr>
        <w:t>в муниципальной собственности</w:t>
      </w:r>
    </w:p>
    <w:p w14:paraId="1D76D0D6" w14:textId="77777777" w:rsidR="00FB2FC7" w:rsidRPr="006C168B" w:rsidRDefault="00FB2FC7" w:rsidP="00C103B3">
      <w:pPr>
        <w:pStyle w:val="22"/>
        <w:ind w:firstLine="0"/>
        <w:rPr>
          <w:color w:val="auto"/>
          <w:sz w:val="24"/>
          <w:szCs w:val="24"/>
          <w:lang w:eastAsia="ru-RU"/>
        </w:rPr>
      </w:pPr>
    </w:p>
    <w:p w14:paraId="29695C03" w14:textId="19DB7989"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D55014">
        <w:rPr>
          <w:b/>
          <w:color w:val="auto"/>
          <w:sz w:val="24"/>
          <w:szCs w:val="24"/>
          <w:lang w:eastAsia="ru-RU"/>
        </w:rPr>
        <w:t>17 июня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w:t>
      </w:r>
      <w:r w:rsidR="00D55014">
        <w:rPr>
          <w:b/>
          <w:color w:val="auto"/>
          <w:sz w:val="24"/>
          <w:szCs w:val="24"/>
        </w:rPr>
        <w:t xml:space="preserve"> находящегося </w:t>
      </w:r>
      <w:r w:rsidR="00A91944" w:rsidRPr="00C103B3">
        <w:rPr>
          <w:b/>
          <w:color w:val="auto"/>
          <w:sz w:val="24"/>
          <w:szCs w:val="24"/>
        </w:rPr>
        <w:t xml:space="preserve"> </w:t>
      </w:r>
      <w:r w:rsidR="00D55014">
        <w:rPr>
          <w:b/>
          <w:color w:val="auto"/>
          <w:sz w:val="24"/>
          <w:szCs w:val="24"/>
        </w:rPr>
        <w:t>в</w:t>
      </w:r>
      <w:r w:rsidR="00D55014" w:rsidRPr="00D55014">
        <w:rPr>
          <w:b/>
          <w:color w:val="auto"/>
          <w:sz w:val="24"/>
          <w:szCs w:val="24"/>
        </w:rPr>
        <w:t xml:space="preserve"> муниципальной собственности</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22F048EC"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w:t>
            </w:r>
            <w:r w:rsidR="00D55014" w:rsidRPr="00D55014">
              <w:rPr>
                <w:sz w:val="24"/>
                <w:szCs w:val="24"/>
              </w:rPr>
              <w:t>в муниципальной собственности</w:t>
            </w:r>
            <w:r w:rsidRPr="00647218">
              <w:rPr>
                <w:sz w:val="24"/>
                <w:szCs w:val="24"/>
              </w:rPr>
              <w:t>.</w:t>
            </w:r>
          </w:p>
          <w:p w14:paraId="2BEA20C1" w14:textId="4A6A2E9D"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D55014" w:rsidRPr="00D55014">
              <w:rPr>
                <w:sz w:val="24"/>
                <w:szCs w:val="24"/>
              </w:rPr>
              <w:t>Нижегородская область, Арзамасский район, с. Каменка, ул. Каменская, 115 А</w:t>
            </w:r>
            <w:r w:rsidR="00F75EAE" w:rsidRPr="00647218">
              <w:rPr>
                <w:sz w:val="24"/>
                <w:szCs w:val="24"/>
              </w:rPr>
              <w:t xml:space="preserve">, вид разрешенного использования: </w:t>
            </w:r>
            <w:r w:rsidR="00316E7E" w:rsidRPr="00316E7E">
              <w:rPr>
                <w:sz w:val="24"/>
                <w:szCs w:val="24"/>
              </w:rPr>
              <w:t>для ведения личного подсобного хозяйства (приусадебный земельный участок)</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316E7E" w:rsidRPr="00316E7E">
              <w:rPr>
                <w:sz w:val="24"/>
                <w:szCs w:val="24"/>
              </w:rPr>
              <w:t>52:41:1207003:670</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316E7E" w:rsidRPr="00316E7E">
              <w:rPr>
                <w:sz w:val="24"/>
                <w:szCs w:val="24"/>
              </w:rPr>
              <w:t>1472</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00CBE084"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316E7E" w:rsidRPr="00316E7E">
              <w:rPr>
                <w:sz w:val="24"/>
                <w:szCs w:val="24"/>
              </w:rPr>
              <w:t>23.04.2026 № 1994 «О проведении аукциона в электронной форме на право заключения договора аренды земельного участка по адресу: Нижегородская область, Арзамасский район, с. Каменка, ул. Каменская, 115 А, находящегося в муниципальной собственности»</w:t>
            </w:r>
            <w:r w:rsidRPr="00647218">
              <w:rPr>
                <w:color w:val="000000"/>
                <w:sz w:val="24"/>
                <w:szCs w:val="24"/>
              </w:rPr>
              <w:t>.</w:t>
            </w:r>
          </w:p>
          <w:p w14:paraId="70C60C7D" w14:textId="77777777" w:rsidR="00316E7E" w:rsidRDefault="00A91944" w:rsidP="009336FB">
            <w:pPr>
              <w:widowControl w:val="0"/>
              <w:autoSpaceDE w:val="0"/>
              <w:autoSpaceDN w:val="0"/>
              <w:spacing w:after="160" w:line="276" w:lineRule="auto"/>
              <w:contextualSpacing/>
              <w:jc w:val="both"/>
              <w:rPr>
                <w:kern w:val="3"/>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316E7E" w:rsidRPr="00316E7E">
              <w:rPr>
                <w:kern w:val="3"/>
              </w:rPr>
              <w:t xml:space="preserve">Содержание ограничения в использовании или ограничения права на объект недвижимости или обременения объекта недвижимости: учетный номер части 52:41:1207003:670/1, площадь 397 кв.м.,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местоположения береговой линии (границ водных объектов), водоохранной зоны и прибрежной защитной полосы реки Тёши на территории Арзамасского муниципального района Нижегородской области" от 07.09.2022 № 319-607/22П/од выдан: Министерство экологии и природных ресурсов Нижегородской области; водный кодекс Российской Федерации от 03.06.2006 № 74-ФЗ выдан: Государственная Дума Российской Федерации; Содержание ограничения (обременения): Запрещаются: 1)испол-ние сточн.вод в целях регул-ния плодородия </w:t>
            </w:r>
            <w:r w:rsidR="00316E7E" w:rsidRPr="00316E7E">
              <w:rPr>
                <w:kern w:val="3"/>
              </w:rPr>
              <w:lastRenderedPageBreak/>
              <w:t xml:space="preserve">почв; 2)разм-ние кладбищ, скотомогильников, объектов разм-ния отходов производства и потребления, хим-их, взрывч., токсич., отравляющих и ядов. веществ, пунктов захоронения радиоакт. отходов, а также загрязнение тер-рии загрязн-ми веществами, предельно допуст. концентрации кот. в водах водн.объектов рыбохоз. значения не устан-ны; 3)осущ-ние авиацион.мер по борьбе с вредн.организмами; 4)движение и стоянка транс-ных средств (кроме спец. транс-ных средств), за искл. их движения по дорогам и стоянки на дорогах и в спец. оборуд-ных местах, имеющ. твердое покрытие; 5) строит-во и реконс-ция автозаправ. станций, складов горюче-смазочных материалов (за искл. случаев, если автозаправ. станции, склады горюче-смазочных материалов размещены на тер-риях портов, инфраструктуры внутр. водн. путей, в т.ч. баз (сооружений) для стоянки маломер. судов, объектов органов фед. службы безопасности), станций технич.обслуживания, испол-ых для технич. осмотра и ремонта транс-ных средств, осущес-ние мойки транс-ных средств; 6)хранение пестицидов и агрохимикатов (за искл. хранения агрохимикатов в специализир. хранилищах на тер-риях морских портов за пределами границ прибрежных защитных полос), применение пестицидов и агрохимикатов; 7)сброс сточных, в т.ч. дренажных, вод; 8)разведка и добыча общераспростр. полез. ископаемых (за искл.случаев, если разведка и добыча общераспростр. полез. ископаемых осущ-ся пользователями недр, осущест-ими разведку и добычу иных видов полез. ископаемых, в границах предост-ных им в соотв. С законод-ом РФ о недрах горных отводов и (или) геолог. отводов на основании утвержд. техн. проекта в соответ. Со статьей 19.1 Закона РФ от 21 февраля 1992 года N 2395-1 "О недрах"). Разрешается: проект-ние, строит-во, реконструкция, ввод в эксплуатацию, эксплуатация хоз-ных и иных объектов при условии оборудования таких объектов сооружениями, обеспечивающими охрану водн.об. от загрязнения, засорения, заиления и истощения вод в соот-вии с водн.законод-вом и законод-вом в обл. охр. окруж. среды. Выбор типа сооружения, обеспечив. охрану вод. об. от загрязнения, засорения, заиления и истощения вод, осуществляется с учетом необход-ти соблюдения устан-ных в соотв-вии с законод-вом в области охр. окруж. среды нормативов допустимых сбросов загряз. веществ, иных веществ и микроорганизмов. Под такими сооружениями понимаются: 1)централ-ные системы водоотведения (канализации), централ-ные ливневые системы водоотведения; 2)сооружения и системы для отведения (сброса) сточн.вод в централ-ные системы водоотведения (в т.ч. дождевых, талых, инфильтрационных, поливомоечных и дренажных вод), если они предназначены для приема таких вод; 3)локал. очист. сооружения для очистки сточн.вод (в т.ч. дождевых, талых, инфильтрационных, поливомоечных и дренажных вод), обеспечивающие их очистку исходя из нормативов, устан-ных в соот-вии с требованиями законодательства в области охраны окруж. среды и настоящего Кодекса; 4)сооружения для сбора отходов производства и потребления, а также сооружения и системы для отведения (сброса) сточ.вод (в т.ч. дождевых, талых, инфильтрационных, поливомоечных и дренажных вод) в приемники, изготовленные из водонепрон. материалов; 5) сооружения, обеспеч-щие защиту водн. объектов и прилег. к ним тер-рий от разливов нефти и нефтепродуктов и иного негатив. воздействия на окруж.среду. В отношении тер-рий ведения гражданами садов-ва или </w:t>
            </w:r>
            <w:r w:rsidR="00316E7E" w:rsidRPr="00316E7E">
              <w:rPr>
                <w:kern w:val="3"/>
              </w:rPr>
              <w:lastRenderedPageBreak/>
              <w:t>огород-ва для собств.нужд, размещенных в границах ВЗ и не оборуд-ных сооружениями для очистки сточ.вод, до момента их оборудования такими сооружениями и (или) подключения к централ-ным системам водоотведения (канализации), централ-ным ливневым системам водоотведения, допускается применение приемников, изгот-ных из водонепрон. материалов, предотвр-щих поступление загрязн. веществ, иных веществ и микроорганизмов в окруж. среду. На тер-риях, расположенных в границах ВЗ и занятых защит.лесами, особо защит. участками лесов, наряду с огран-ями, установ-ми для ВЗ, действуют ограничения, предусмотр. установ-ми лесн.законодательством правовым режимом защит.лесов, правовым режимом особо защит.участков лесов. Строит-во, реконс-ция и эксплуатация специализ-ных хранилищ агрохимикатов допускаются при условии оборудования таких хранилищ сооружениями и системами, предотвращ. загряз-ие водн.об.; Реестровый номер границы: 52:41-6.1361; Вид объекта реестра границ: Зона с особыми условиями использования территории; Вид зоны по документу: Водоохранная зона реки Тёша на территории Арзамасского муниципального района Нижегородской области; Тип зоны: Водоохранная зона.</w:t>
            </w:r>
          </w:p>
          <w:p w14:paraId="7C122F77" w14:textId="696675E0"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316E7E">
              <w:rPr>
                <w:color w:val="000000"/>
                <w:kern w:val="3"/>
                <w:lang w:eastAsia="zh-CN"/>
              </w:rPr>
              <w:t xml:space="preserve"> муниципальная собственность городского округа город Арзамас Нижегородской области</w:t>
            </w:r>
          </w:p>
          <w:p w14:paraId="58E60F8C" w14:textId="6F585B9E"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316E7E" w:rsidRPr="00316E7E">
              <w:t>33632,26 рубля (Тридцать три тысячи шестьсо</w:t>
            </w:r>
            <w:r w:rsidR="00316E7E">
              <w:t>т тридцать два рубля 26 копеек)</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316E7E" w:rsidRPr="00316E7E">
              <w:t>16.12.2025 №515</w:t>
            </w:r>
          </w:p>
          <w:p w14:paraId="2CD7D2D5" w14:textId="575AB974"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316E7E" w:rsidRPr="00316E7E">
              <w:rPr>
                <w:lang w:eastAsia="zh-CN"/>
              </w:rPr>
              <w:t>26905,81 рублей (Двадцать шесть тысяч де</w:t>
            </w:r>
            <w:r w:rsidR="00316E7E">
              <w:rPr>
                <w:lang w:eastAsia="zh-CN"/>
              </w:rPr>
              <w:t>вятьсот пять рублей 81 копейка)</w:t>
            </w:r>
            <w:r w:rsidR="003F2417" w:rsidRPr="003F2417">
              <w:rPr>
                <w:lang w:eastAsia="zh-CN"/>
              </w:rPr>
              <w:t>.</w:t>
            </w:r>
          </w:p>
          <w:p w14:paraId="6E86BCF8" w14:textId="2C5DEF17"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316E7E" w:rsidRPr="00316E7E">
              <w:t>1008,97 рублей (Одна тысяча восемь рублей 97 копеек).</w:t>
            </w:r>
          </w:p>
          <w:p w14:paraId="4E5F075A" w14:textId="6D011699" w:rsidR="00A20990"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пункта 1 статьи 39.18 Земельного Кодекса:</w:t>
            </w:r>
            <w:r w:rsidR="008B4306" w:rsidRPr="00647218">
              <w:rPr>
                <w:lang w:eastAsia="zh-CN"/>
              </w:rPr>
              <w:t xml:space="preserve"> </w:t>
            </w:r>
            <w:r w:rsidR="00AA01E9" w:rsidRPr="00647218">
              <w:rPr>
                <w:lang w:eastAsia="zh-CN"/>
              </w:rPr>
              <w:t>Извещение №</w:t>
            </w:r>
            <w:r w:rsidR="00F27CF2">
              <w:rPr>
                <w:lang w:eastAsia="zh-CN"/>
              </w:rPr>
              <w:t>21000000160000000149 от 11.06.2026</w:t>
            </w:r>
            <w:r w:rsidR="008B7E52" w:rsidRPr="00647218">
              <w:rPr>
                <w:lang w:eastAsia="zh-CN"/>
              </w:rPr>
              <w:t xml:space="preserve"> лот №1</w:t>
            </w:r>
            <w:r w:rsidR="00AA01E9" w:rsidRPr="00647218">
              <w:rPr>
                <w:lang w:eastAsia="zh-CN"/>
              </w:rPr>
              <w:t xml:space="preserve"> сайт torgi.gov.ru</w:t>
            </w:r>
          </w:p>
          <w:p w14:paraId="09E3169E" w14:textId="5DCCEB69" w:rsidR="00465A5D" w:rsidRPr="00647218" w:rsidRDefault="00465A5D" w:rsidP="00CF3D6D">
            <w:pPr>
              <w:widowControl w:val="0"/>
              <w:autoSpaceDE w:val="0"/>
              <w:autoSpaceDN w:val="0"/>
              <w:spacing w:after="160" w:line="276" w:lineRule="auto"/>
              <w:contextualSpacing/>
              <w:jc w:val="both"/>
              <w:rPr>
                <w:lang w:eastAsia="zh-CN"/>
              </w:rPr>
            </w:pP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31C52FEA"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F27CF2" w:rsidRPr="00F27CF2">
        <w:t>Нижегородская область, Арзамасский район, с. Каменка, ул. Каменская, 115 А</w:t>
      </w:r>
      <w:r w:rsidR="001F1CDF">
        <w:t xml:space="preserve">, с кадастровым номером: </w:t>
      </w:r>
      <w:r w:rsidR="00F27CF2">
        <w:t xml:space="preserve">52:41:1207003:670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4600EA11"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F27CF2" w:rsidRPr="00F27CF2">
        <w:t>Нижегородская область, Арзамасский район, с. Каменка, ул. Каменская, 115 А, с кадастровым номером: 52:41:1207003:670</w:t>
      </w:r>
      <w:r>
        <w:t xml:space="preserve">, </w:t>
      </w:r>
      <w:r w:rsidRPr="00647218">
        <w:t xml:space="preserve">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w:t>
      </w:r>
      <w:r w:rsidRPr="00647218">
        <w:lastRenderedPageBreak/>
        <w:t>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2E844CBD" w14:textId="2478CC29" w:rsidR="00647218" w:rsidRPr="00647218" w:rsidRDefault="00647218" w:rsidP="00647218">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3625CD" w:rsidRPr="003625CD">
        <w:t xml:space="preserve">Нижегородская область, Арзамасский район, с. Каменка, ул. Каменская, 115 А, с кадастровым номером: 52:41:1207003:670 </w:t>
      </w:r>
      <w:r w:rsidR="007B1304">
        <w:t>– существует.</w:t>
      </w:r>
      <w:r w:rsidR="007B1304" w:rsidRPr="007B1304">
        <w:t xml:space="preserve">  </w:t>
      </w:r>
      <w:r w:rsidR="003625CD">
        <w:t xml:space="preserve"> Максимальная нагрузка в возможных точках подключения (технологического присоединения) составляет 2 м3/сут. </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003625CD" w:rsidRPr="003625CD">
        <w:t xml:space="preserve">Нижегородская область, Арзамасский район, с. Каменка, ул. Каменская, 115 А, с кадастровым номером: 52:41:1207003:670 </w:t>
      </w:r>
      <w:r w:rsidR="003625CD">
        <w:t>–отсутствует.</w:t>
      </w:r>
    </w:p>
    <w:p w14:paraId="23E1DC6D" w14:textId="06710789"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3625CD" w:rsidRPr="003625CD">
        <w:t>Нижегородская область, Арзамасский район, с. Каменка, ул. Каменская, 115 А, с кадастровым номером: 52:41:1207003:670</w:t>
      </w:r>
      <w:r w:rsidR="003625CD">
        <w:t xml:space="preserve"> по причине отсутствия резерва мощности.</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4471BCE1" w:rsidR="006D3EEA" w:rsidRPr="006E149E" w:rsidRDefault="00BA39B2" w:rsidP="00C103B3">
      <w:pPr>
        <w:pStyle w:val="Standard"/>
        <w:jc w:val="both"/>
      </w:pPr>
      <w:r>
        <w:t xml:space="preserve">      </w:t>
      </w:r>
      <w:r w:rsidR="009C0E5E" w:rsidRPr="009C0E5E">
        <w:t xml:space="preserve">Земельный участок по адресу: </w:t>
      </w:r>
      <w:r w:rsidR="003625CD" w:rsidRPr="003625CD">
        <w:t>Нижегородская область, Арзамасский район, с. Каменка, ул. Каменская, 115 А, с кадастровым номером: 52:41:1207003:670</w:t>
      </w:r>
      <w:r w:rsidR="009C0E5E">
        <w:t xml:space="preserve">, </w:t>
      </w:r>
      <w:r w:rsidR="009C0E5E" w:rsidRPr="009C0E5E">
        <w:t xml:space="preserve">находится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городского округа город Арзамас Нижегородской </w:t>
      </w:r>
      <w:r w:rsidR="009C0E5E" w:rsidRPr="006E149E">
        <w:t>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землепользования и застройки изменений, относящихся к другим частям территории городского округа от 04.07.2025 №2586</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647218">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647218">
        <w:trPr>
          <w:cantSplit/>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647218">
        <w:trPr>
          <w:cantSplit/>
        </w:trPr>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6E149E">
        <w:trPr>
          <w:cantSplit/>
          <w:trHeight w:val="982"/>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минимальное</w:t>
            </w:r>
            <w:r w:rsidRPr="006E149E">
              <w:rPr>
                <w:spacing w:val="1"/>
                <w:sz w:val="20"/>
                <w:szCs w:val="20"/>
              </w:rPr>
              <w:t xml:space="preserve"> </w:t>
            </w:r>
            <w:r w:rsidRPr="006E149E">
              <w:rPr>
                <w:sz w:val="20"/>
                <w:szCs w:val="20"/>
              </w:rPr>
              <w:lastRenderedPageBreak/>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t>допускается</w:t>
            </w:r>
            <w:r w:rsidRPr="006E149E">
              <w:rPr>
                <w:spacing w:val="-57"/>
                <w:sz w:val="20"/>
                <w:szCs w:val="20"/>
              </w:rPr>
              <w:t xml:space="preserve"> </w:t>
            </w:r>
            <w:r w:rsidRPr="006E149E">
              <w:rPr>
                <w:sz w:val="20"/>
                <w:szCs w:val="20"/>
              </w:rPr>
              <w:t xml:space="preserve">принимать </w:t>
            </w:r>
            <w:r w:rsidRPr="006E149E">
              <w:rPr>
                <w:sz w:val="20"/>
                <w:szCs w:val="20"/>
              </w:rPr>
              <w:lastRenderedPageBreak/>
              <w:t>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1.площадь земельного участка 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7D9B0295"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7D49BC">
        <w:t>30.04</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6473BFDB"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2C709A">
        <w:rPr>
          <w:bCs/>
        </w:rPr>
        <w:t xml:space="preserve"> </w:t>
      </w:r>
      <w:r w:rsidR="002C709A" w:rsidRPr="002C709A">
        <w:rPr>
          <w:bCs/>
        </w:rPr>
        <w:t>1</w:t>
      </w:r>
      <w:r w:rsidR="007D49BC">
        <w:rPr>
          <w:bCs/>
        </w:rPr>
        <w:t>5.06.</w:t>
      </w:r>
      <w:r w:rsidR="00BA39B2">
        <w:rPr>
          <w:bCs/>
        </w:rPr>
        <w:t>2026</w:t>
      </w:r>
      <w:r w:rsidR="00673BE3" w:rsidRPr="00E66286">
        <w:t xml:space="preserve"> в 23 час. 59</w:t>
      </w:r>
      <w:r w:rsidRPr="00E66286">
        <w:t xml:space="preserve"> мин.</w:t>
      </w:r>
    </w:p>
    <w:p w14:paraId="7675C662" w14:textId="2549241C" w:rsidR="00A91944" w:rsidRPr="009B448B"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7D49BC">
        <w:t>16.06</w:t>
      </w:r>
      <w:r w:rsidR="00523833">
        <w:t>.</w:t>
      </w:r>
      <w:r w:rsidR="00BA39B2" w:rsidRPr="009B448B">
        <w:t>2026</w:t>
      </w:r>
    </w:p>
    <w:p w14:paraId="3FDF2BC2" w14:textId="10CB80FA" w:rsidR="002D68AC" w:rsidRPr="00236F04" w:rsidRDefault="002D68AC" w:rsidP="00C103B3">
      <w:pPr>
        <w:pStyle w:val="Standard"/>
        <w:jc w:val="both"/>
        <w:rPr>
          <w:color w:val="000000"/>
        </w:rPr>
      </w:pPr>
      <w:r w:rsidRPr="00E66286">
        <w:rPr>
          <w:b/>
          <w:u w:val="single"/>
        </w:rPr>
        <w:t>Дата аукциона:</w:t>
      </w:r>
      <w:r w:rsidR="007D49BC">
        <w:t xml:space="preserve"> 17.06</w:t>
      </w:r>
      <w:r w:rsidR="009B448B">
        <w:t>.</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lastRenderedPageBreak/>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0C885DE"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7D49BC">
        <w:rPr>
          <w:color w:val="000000"/>
        </w:rPr>
        <w:t xml:space="preserve"> 16 июня </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C103B3">
        <w:rPr>
          <w:color w:val="000000"/>
        </w:rPr>
        <w:lastRenderedPageBreak/>
        <w:t>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38DE6ABA"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7D49BC">
        <w:t xml:space="preserve">17 июня </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w:t>
      </w:r>
      <w:r w:rsidR="00A91944" w:rsidRPr="00C103B3">
        <w:rPr>
          <w:color w:val="000000"/>
        </w:rPr>
        <w:lastRenderedPageBreak/>
        <w:t>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lastRenderedPageBreak/>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lastRenderedPageBreak/>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lastRenderedPageBreak/>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lastRenderedPageBreak/>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lastRenderedPageBreak/>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0E048BD7" w14:textId="77777777" w:rsidR="00520C45" w:rsidRDefault="00520C45" w:rsidP="009B448B">
      <w:pPr>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1BC7C" w14:textId="77777777" w:rsidR="00B64BD8" w:rsidRDefault="00B64BD8" w:rsidP="00A91944">
      <w:r>
        <w:separator/>
      </w:r>
    </w:p>
  </w:endnote>
  <w:endnote w:type="continuationSeparator" w:id="0">
    <w:p w14:paraId="0DAE08D8" w14:textId="77777777" w:rsidR="00B64BD8" w:rsidRDefault="00B64BD8"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15F06" w14:textId="77777777" w:rsidR="00B64BD8" w:rsidRDefault="00B64BD8" w:rsidP="00A91944">
      <w:r>
        <w:separator/>
      </w:r>
    </w:p>
  </w:footnote>
  <w:footnote w:type="continuationSeparator" w:id="0">
    <w:p w14:paraId="42F623A1" w14:textId="77777777" w:rsidR="00B64BD8" w:rsidRDefault="00B64BD8"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41CF6" w:rsidRPr="00F41CF6">
                            <w:rPr>
                              <w:rStyle w:val="MSGENFONTSTYLENAMETEMPLATEROLEMSGENFONTSTYLENAMEBYROLERUNNINGTITLE0"/>
                              <w:b/>
                              <w:bCs/>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41CF6" w:rsidRPr="00F41CF6">
                      <w:rPr>
                        <w:rStyle w:val="MSGENFONTSTYLENAMETEMPLATEROLEMSGENFONTSTYLENAMEBYROLERUNNINGTITLE0"/>
                        <w:b/>
                        <w:bCs/>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20AB8"/>
    <w:rsid w:val="00222A43"/>
    <w:rsid w:val="00226C55"/>
    <w:rsid w:val="00233428"/>
    <w:rsid w:val="00236B4B"/>
    <w:rsid w:val="00236F04"/>
    <w:rsid w:val="00240E95"/>
    <w:rsid w:val="00250A6B"/>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09A"/>
    <w:rsid w:val="002C75C9"/>
    <w:rsid w:val="002D50E4"/>
    <w:rsid w:val="002D52FA"/>
    <w:rsid w:val="002D68AC"/>
    <w:rsid w:val="002D7255"/>
    <w:rsid w:val="002E0381"/>
    <w:rsid w:val="002E2164"/>
    <w:rsid w:val="002F19CF"/>
    <w:rsid w:val="002F45A6"/>
    <w:rsid w:val="003067D4"/>
    <w:rsid w:val="00314C73"/>
    <w:rsid w:val="00316E7E"/>
    <w:rsid w:val="0032193E"/>
    <w:rsid w:val="00323766"/>
    <w:rsid w:val="00323D43"/>
    <w:rsid w:val="003313E0"/>
    <w:rsid w:val="00331E0A"/>
    <w:rsid w:val="0033569C"/>
    <w:rsid w:val="003441D2"/>
    <w:rsid w:val="00344DBD"/>
    <w:rsid w:val="003469AF"/>
    <w:rsid w:val="00361065"/>
    <w:rsid w:val="003625CD"/>
    <w:rsid w:val="00364782"/>
    <w:rsid w:val="00365181"/>
    <w:rsid w:val="00367921"/>
    <w:rsid w:val="00367C0C"/>
    <w:rsid w:val="00371B79"/>
    <w:rsid w:val="00372EDA"/>
    <w:rsid w:val="00373226"/>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D4071"/>
    <w:rsid w:val="003E10C4"/>
    <w:rsid w:val="003E22D9"/>
    <w:rsid w:val="003E56B5"/>
    <w:rsid w:val="003F0176"/>
    <w:rsid w:val="003F2417"/>
    <w:rsid w:val="004043D0"/>
    <w:rsid w:val="0041050E"/>
    <w:rsid w:val="004128E4"/>
    <w:rsid w:val="00422DC8"/>
    <w:rsid w:val="004338EE"/>
    <w:rsid w:val="00437956"/>
    <w:rsid w:val="00442A71"/>
    <w:rsid w:val="0044409B"/>
    <w:rsid w:val="00450440"/>
    <w:rsid w:val="00456226"/>
    <w:rsid w:val="00457607"/>
    <w:rsid w:val="00463CE2"/>
    <w:rsid w:val="00465A5D"/>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C3715"/>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49BC"/>
    <w:rsid w:val="007D6FC6"/>
    <w:rsid w:val="007E1845"/>
    <w:rsid w:val="00800444"/>
    <w:rsid w:val="00800B79"/>
    <w:rsid w:val="0080553F"/>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432D8"/>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B448B"/>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5F2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4BD8"/>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5014"/>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1AA"/>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27CF2"/>
    <w:rsid w:val="00F30981"/>
    <w:rsid w:val="00F41CF6"/>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2031-34F8-4281-947B-45C099F9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9220</Words>
  <Characters>52559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8</cp:revision>
  <cp:lastPrinted>2026-04-24T08:10:00Z</cp:lastPrinted>
  <dcterms:created xsi:type="dcterms:W3CDTF">2026-04-23T14:06:00Z</dcterms:created>
  <dcterms:modified xsi:type="dcterms:W3CDTF">2026-04-29T10:35:00Z</dcterms:modified>
</cp:coreProperties>
</file>